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A2F7" w14:textId="77777777" w:rsidR="005D4E2B" w:rsidRPr="005D4E2B" w:rsidRDefault="005D4E2B" w:rsidP="005D4E2B">
      <w:pPr>
        <w:pStyle w:val="Rubrik1"/>
        <w:spacing w:before="150" w:beforeAutospacing="0" w:after="375" w:afterAutospacing="0" w:line="480" w:lineRule="atLeast"/>
        <w:rPr>
          <w:rFonts w:ascii="Arial" w:hAnsi="Arial" w:cs="Arial"/>
          <w:b w:val="0"/>
          <w:bCs w:val="0"/>
          <w:caps/>
          <w:sz w:val="40"/>
          <w:szCs w:val="40"/>
        </w:rPr>
      </w:pPr>
      <w:r w:rsidRPr="005D4E2B">
        <w:rPr>
          <w:rFonts w:ascii="Arial" w:hAnsi="Arial" w:cs="Arial"/>
          <w:b w:val="0"/>
          <w:bCs w:val="0"/>
          <w:caps/>
          <w:sz w:val="40"/>
          <w:szCs w:val="40"/>
        </w:rPr>
        <w:t>Notice of Annual General Meeting in OrganoClick AB (publ) Including nomination of new Board members</w:t>
      </w:r>
    </w:p>
    <w:p w14:paraId="3043B7B8" w14:textId="77777777" w:rsidR="005D4E2B" w:rsidRPr="005D4E2B" w:rsidRDefault="005D4E2B" w:rsidP="005D4E2B">
      <w:pPr>
        <w:pStyle w:val="ingress"/>
        <w:spacing w:before="210" w:beforeAutospacing="0" w:after="210" w:afterAutospacing="0"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The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shareholders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of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OrganoClick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AB (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publ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), </w:t>
      </w:r>
      <w:proofErr w:type="gram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556704-6908</w:t>
      </w:r>
      <w:proofErr w:type="gram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are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hereby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convened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to the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Annual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General Meeting (AGM) on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Thursday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7 May 2020, at 17.00 at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OrganoClicks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HQ and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production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facility</w:t>
      </w:r>
      <w:proofErr w:type="spellEnd"/>
      <w:r w:rsidRPr="005D4E2B">
        <w:rPr>
          <w:rFonts w:ascii="Arial" w:hAnsi="Arial" w:cs="Arial"/>
          <w:b/>
          <w:bCs/>
          <w:color w:val="333333"/>
          <w:sz w:val="21"/>
          <w:szCs w:val="21"/>
        </w:rPr>
        <w:t>, Linjalvägen 9, 187 66 Täby.</w:t>
      </w:r>
    </w:p>
    <w:p w14:paraId="30EBED74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INFORMATION CONCERNING THE CORONA VIRUS</w:t>
      </w:r>
    </w:p>
    <w:p w14:paraId="66014C49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 order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precautionary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measures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spread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virus,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OrganoClick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changes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2020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General Meeting:</w:t>
      </w:r>
    </w:p>
    <w:p w14:paraId="64F44C4E" w14:textId="77777777" w:rsidR="005D4E2B" w:rsidRDefault="005D4E2B" w:rsidP="005D4E2B">
      <w:pPr>
        <w:pStyle w:val="Normalwebb"/>
        <w:numPr>
          <w:ilvl w:val="0"/>
          <w:numId w:val="3"/>
        </w:numPr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the AGM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significantly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shortened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from 4.45 pm.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limit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rights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shareholders.</w:t>
      </w:r>
      <w:proofErr w:type="spellEnd"/>
    </w:p>
    <w:p w14:paraId="30661039" w14:textId="77777777" w:rsidR="005D4E2B" w:rsidRDefault="005D4E2B" w:rsidP="005D4E2B">
      <w:pPr>
        <w:pStyle w:val="Normalwebb"/>
        <w:numPr>
          <w:ilvl w:val="0"/>
          <w:numId w:val="3"/>
        </w:numPr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 w:rsidRPr="005D4E2B">
        <w:rPr>
          <w:rFonts w:ascii="Arial" w:hAnsi="Arial" w:cs="Arial"/>
          <w:color w:val="333333"/>
          <w:sz w:val="21"/>
          <w:szCs w:val="21"/>
        </w:rPr>
        <w:t xml:space="preserve">Participation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both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members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the Board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Directors,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Pr="005D4E2B">
        <w:rPr>
          <w:rFonts w:ascii="Arial" w:hAnsi="Arial" w:cs="Arial"/>
          <w:color w:val="333333"/>
          <w:sz w:val="21"/>
          <w:szCs w:val="21"/>
        </w:rPr>
        <w:t>management and</w:t>
      </w:r>
      <w:proofErr w:type="gramEnd"/>
      <w:r w:rsidRPr="005D4E2B"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non-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present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limited.</w:t>
      </w:r>
      <w:proofErr w:type="spellEnd"/>
    </w:p>
    <w:p w14:paraId="673912BA" w14:textId="77777777" w:rsidR="005D4E2B" w:rsidRDefault="005D4E2B" w:rsidP="005D4E2B">
      <w:pPr>
        <w:pStyle w:val="Normalwebb"/>
        <w:numPr>
          <w:ilvl w:val="0"/>
          <w:numId w:val="3"/>
        </w:numPr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 w:rsidRPr="005D4E2B">
        <w:rPr>
          <w:rFonts w:ascii="Arial" w:hAnsi="Arial" w:cs="Arial"/>
          <w:color w:val="333333"/>
          <w:sz w:val="21"/>
          <w:szCs w:val="21"/>
        </w:rPr>
        <w:t xml:space="preserve">No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consumption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served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>.</w:t>
      </w:r>
    </w:p>
    <w:p w14:paraId="7A1BF3E9" w14:textId="77777777" w:rsidR="005D4E2B" w:rsidRDefault="005D4E2B" w:rsidP="005D4E2B">
      <w:pPr>
        <w:pStyle w:val="Normalwebb"/>
        <w:numPr>
          <w:ilvl w:val="0"/>
          <w:numId w:val="3"/>
        </w:numPr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Exhibition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Pr="005D4E2B">
        <w:rPr>
          <w:rFonts w:ascii="Arial" w:hAnsi="Arial" w:cs="Arial"/>
          <w:color w:val="333333"/>
          <w:sz w:val="21"/>
          <w:szCs w:val="21"/>
        </w:rPr>
        <w:t>and presentation</w:t>
      </w:r>
      <w:proofErr w:type="gram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activities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normally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done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connection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the AGM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canceled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>.</w:t>
      </w:r>
    </w:p>
    <w:p w14:paraId="7643A43A" w14:textId="68615C39" w:rsidR="005D4E2B" w:rsidRPr="005D4E2B" w:rsidRDefault="005D4E2B" w:rsidP="005D4E2B">
      <w:pPr>
        <w:pStyle w:val="Normalwebb"/>
        <w:numPr>
          <w:ilvl w:val="0"/>
          <w:numId w:val="3"/>
        </w:numPr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OrganoClick's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CEO and CEO Mårten Hellberg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not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give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physical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speech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during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the meeting,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but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speech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by the CEO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posted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on the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company's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website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D4E2B">
        <w:rPr>
          <w:rFonts w:ascii="Arial" w:hAnsi="Arial" w:cs="Arial"/>
          <w:color w:val="333333"/>
          <w:sz w:val="21"/>
          <w:szCs w:val="21"/>
        </w:rPr>
        <w:t>after</w:t>
      </w:r>
      <w:proofErr w:type="spellEnd"/>
      <w:r w:rsidRPr="005D4E2B">
        <w:rPr>
          <w:rFonts w:ascii="Arial" w:hAnsi="Arial" w:cs="Arial"/>
          <w:color w:val="333333"/>
          <w:sz w:val="21"/>
          <w:szCs w:val="21"/>
        </w:rPr>
        <w:t xml:space="preserve"> the meeting.</w:t>
      </w:r>
    </w:p>
    <w:p w14:paraId="1C0032D8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OrganClick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remind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encourage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possibility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personally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general meeting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Furthermore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belong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a risk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recently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visited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risk area,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recommended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via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OrganoClick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offer a person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as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exercise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rights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physically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meeting.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minimize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physically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present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people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reduce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risk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EAB3FF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AC2BD9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PARTICIPATION</w:t>
      </w:r>
    </w:p>
    <w:p w14:paraId="3BF09DFA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AGM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OrganoClick’s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register,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Euroclear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Sweden AB, on the 30th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April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2020,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attendance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mail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OrganoClick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AB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), Linjalvägen 9, 187 66 Täby or by email to ir@organoclick.com.  </w:t>
      </w:r>
    </w:p>
    <w:p w14:paraId="18E9624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NOTIFICATION OF ATTENDANCE</w:t>
      </w:r>
    </w:p>
    <w:p w14:paraId="4C6C0B32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attendance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given to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later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30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April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2020.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personal-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corporate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In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advisers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(maximum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two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AGM.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exercise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rights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written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form, and for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juridical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copy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sent to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advance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later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30h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April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2020.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old;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expiry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Proxy forms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downloaded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homepage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r>
          <w:rPr>
            <w:rStyle w:val="Hyperlnk"/>
            <w:rFonts w:ascii="Arial" w:hAnsi="Arial" w:cs="Arial"/>
            <w:color w:val="638D31"/>
            <w:sz w:val="21"/>
            <w:szCs w:val="21"/>
          </w:rPr>
          <w:t>www.organoclick.com</w:t>
        </w:r>
      </w:hyperlink>
      <w:r>
        <w:rPr>
          <w:rFonts w:ascii="Arial" w:hAnsi="Arial" w:cs="Arial"/>
          <w:color w:val="333333"/>
          <w:sz w:val="21"/>
          <w:szCs w:val="21"/>
        </w:rPr>
        <w:t>.    </w:t>
      </w:r>
    </w:p>
    <w:p w14:paraId="67F648F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OrganoClick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appointed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 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proxy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Contact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 the AGM.   </w:t>
      </w:r>
    </w:p>
    <w:p w14:paraId="6E5B0B3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holdings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nominee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must register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own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Euroclear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entitled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the AGM.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must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later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Friday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30th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April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2020. Contact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nominee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 taken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ahead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date.</w:t>
      </w:r>
    </w:p>
    <w:p w14:paraId="35CA401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Proposed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agenda</w:t>
      </w:r>
    </w:p>
    <w:p w14:paraId="2B0A20D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</w:t>
      </w:r>
      <w:r>
        <w:rPr>
          <w:rFonts w:ascii="Arial" w:hAnsi="Arial" w:cs="Arial"/>
          <w:color w:val="333333"/>
          <w:sz w:val="21"/>
          <w:szCs w:val="21"/>
        </w:rPr>
        <w:t>pening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AGM</w:t>
      </w:r>
    </w:p>
    <w:p w14:paraId="3E9B2B41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2. 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secretary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meeting</w:t>
      </w:r>
    </w:p>
    <w:p w14:paraId="61D73135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Board’s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17879ADE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lection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two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persons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minutes</w:t>
      </w:r>
      <w:proofErr w:type="spellEnd"/>
    </w:p>
    <w:p w14:paraId="484CFD9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  Preparation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approval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register</w:t>
      </w:r>
    </w:p>
    <w:p w14:paraId="4CA9FDAC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pproval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agenda</w:t>
      </w:r>
    </w:p>
    <w:p w14:paraId="30758B93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</w:t>
      </w:r>
      <w:r w:rsidRPr="005D4E2B">
        <w:rPr>
          <w:rFonts w:ascii="Arial" w:hAnsi="Arial" w:cs="Arial"/>
          <w:i/>
          <w:iCs/>
          <w:color w:val="333333"/>
          <w:sz w:val="21"/>
          <w:szCs w:val="21"/>
        </w:rPr>
        <w:t xml:space="preserve">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 xml:space="preserve">etermination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meeting has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convened</w:t>
      </w:r>
      <w:proofErr w:type="spellEnd"/>
    </w:p>
    <w:p w14:paraId="287842F2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P</w:t>
      </w:r>
      <w:r>
        <w:rPr>
          <w:rFonts w:ascii="Arial" w:hAnsi="Arial" w:cs="Arial"/>
          <w:color w:val="333333"/>
          <w:sz w:val="21"/>
          <w:szCs w:val="21"/>
        </w:rPr>
        <w:t xml:space="preserve">resentation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CEO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questions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from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the Board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 and Management</w:t>
      </w:r>
    </w:p>
    <w:p w14:paraId="28AD0EC3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P</w:t>
      </w:r>
      <w:r>
        <w:rPr>
          <w:rFonts w:ascii="Arial" w:hAnsi="Arial" w:cs="Arial"/>
          <w:color w:val="333333"/>
          <w:sz w:val="21"/>
          <w:szCs w:val="21"/>
        </w:rPr>
        <w:t xml:space="preserve">resentation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Audit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Report</w:t>
      </w:r>
      <w:proofErr w:type="spellEnd"/>
    </w:p>
    <w:p w14:paraId="121C284F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R</w:t>
      </w:r>
      <w:r>
        <w:rPr>
          <w:rFonts w:ascii="Arial" w:hAnsi="Arial" w:cs="Arial"/>
          <w:color w:val="333333"/>
          <w:sz w:val="21"/>
          <w:szCs w:val="21"/>
        </w:rPr>
        <w:t xml:space="preserve">esolution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concerning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adoption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income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balance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sheet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consolidated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income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consolidated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balance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sheet</w:t>
      </w:r>
      <w:proofErr w:type="spellEnd"/>
    </w:p>
    <w:p w14:paraId="5D430D8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Board’s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Income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statements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balance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sheets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adopted</w:t>
      </w:r>
      <w:proofErr w:type="spellEnd"/>
    </w:p>
    <w:p w14:paraId="706AE209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10.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R</w:t>
      </w:r>
      <w:r>
        <w:rPr>
          <w:rFonts w:ascii="Arial" w:hAnsi="Arial" w:cs="Arial"/>
          <w:color w:val="333333"/>
          <w:sz w:val="21"/>
          <w:szCs w:val="21"/>
        </w:rPr>
        <w:t xml:space="preserve">esolution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concerning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disposition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profits 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losses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disposal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General Meeting</w:t>
      </w:r>
    </w:p>
    <w:p w14:paraId="4F6E65FC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Board’s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594B51F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R</w:t>
      </w:r>
      <w:r>
        <w:rPr>
          <w:rFonts w:ascii="Arial" w:hAnsi="Arial" w:cs="Arial"/>
          <w:color w:val="333333"/>
          <w:sz w:val="21"/>
          <w:szCs w:val="21"/>
        </w:rPr>
        <w:t xml:space="preserve">esolution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concerning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discharge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Board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 and the CEO from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administration</w:t>
      </w:r>
    </w:p>
    <w:p w14:paraId="3994F76E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 xml:space="preserve">etermination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auditors</w:t>
      </w:r>
      <w:proofErr w:type="spellEnd"/>
    </w:p>
    <w:p w14:paraId="22E50A5C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47CB2544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 xml:space="preserve">etermination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be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the Board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auditors</w:t>
      </w:r>
      <w:proofErr w:type="spellEnd"/>
    </w:p>
    <w:p w14:paraId="5761843C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531AC62A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lection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</w:t>
      </w:r>
    </w:p>
    <w:p w14:paraId="45312754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09BE94D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15.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lection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auditors</w:t>
      </w:r>
      <w:proofErr w:type="spellEnd"/>
    </w:p>
    <w:p w14:paraId="6F60AEF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6B25B9D5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16.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ominating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Committee</w:t>
      </w:r>
      <w:proofErr w:type="spellEnd"/>
    </w:p>
    <w:p w14:paraId="21571AE4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25AF4FB5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17. </w:t>
      </w:r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R</w:t>
      </w:r>
      <w:r>
        <w:rPr>
          <w:rFonts w:ascii="Arial" w:hAnsi="Arial" w:cs="Arial"/>
          <w:color w:val="333333"/>
          <w:sz w:val="21"/>
          <w:szCs w:val="21"/>
        </w:rPr>
        <w:t xml:space="preserve">esolution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authorisation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the Board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Directors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resolve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new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shares</w:t>
      </w:r>
      <w:proofErr w:type="spellEnd"/>
    </w:p>
    <w:p w14:paraId="5191930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below</w:t>
      </w:r>
      <w:proofErr w:type="spellEnd"/>
    </w:p>
    <w:p w14:paraId="58C2E0F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A</w:t>
      </w:r>
      <w:r w:rsidRPr="005D4E2B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issue</w:t>
      </w:r>
      <w:proofErr w:type="spellEnd"/>
    </w:p>
    <w:p w14:paraId="473E3B80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19. </w:t>
      </w:r>
      <w:proofErr w:type="spellStart"/>
      <w:r w:rsidRPr="005D4E2B">
        <w:rPr>
          <w:rStyle w:val="Betoning"/>
          <w:rFonts w:ascii="Arial" w:hAnsi="Arial" w:cs="Arial"/>
          <w:i w:val="0"/>
          <w:iCs w:val="0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>losing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the AGM</w:t>
      </w:r>
    </w:p>
    <w:p w14:paraId="397D856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Motions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2: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AGM</w:t>
      </w:r>
    </w:p>
    <w:p w14:paraId="1F747DF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Maria Wennman,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OrganoClick’s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R&amp;D Director, is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as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AGM</w:t>
      </w:r>
    </w:p>
    <w:p w14:paraId="53113EA0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10: Resolution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concerning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adoption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income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statement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balance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sheet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companyThe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Board and the CEO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propose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parent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avaliable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profits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SEK 107 922 869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carried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forward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into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new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accoun</w:t>
      </w:r>
      <w:proofErr w:type="spellEnd"/>
    </w:p>
    <w:p w14:paraId="579C6E6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12 and 14: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</w:t>
      </w:r>
    </w:p>
    <w:p w14:paraId="2744E719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lastRenderedPageBreak/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re-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directors Jan Johansson, Håkan Gustavson, and Claes-Göran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Beckeman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new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Charlotte Karlberg and Malin Bugge.</w:t>
      </w:r>
    </w:p>
    <w:p w14:paraId="196276F6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Charlotte Karlberg has a broad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industrial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experience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previous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 General for VINNOVA,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Industrifonden, and Vice President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Technology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at ABB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Robotics.She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is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currently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CTO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Alimak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Group,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HMS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Network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Member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Gunnebo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. .</w:t>
      </w:r>
      <w:proofErr w:type="gramEnd"/>
    </w:p>
    <w:p w14:paraId="717A7CC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Malin Bugge has a broad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experience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within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marketing and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brand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strategy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is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currently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working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as CTO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Head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Strategy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at the brand and design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firm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Kurppa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Hosk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Previous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experience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include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leading positions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within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marketing and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brand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strategy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at Volt, Q-park and Essen International.</w:t>
      </w:r>
    </w:p>
    <w:p w14:paraId="0311CE17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re-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Jan Johansson as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</w:t>
      </w:r>
    </w:p>
    <w:p w14:paraId="5D1BFC21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13: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Fees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the directors and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</w:p>
    <w:p w14:paraId="15A46B8A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receive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SEK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400.000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receive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SEK 100.000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each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.</w:t>
      </w:r>
    </w:p>
    <w:p w14:paraId="5FBE46A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 is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proposed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fees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paid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accordance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approved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invoices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.</w:t>
      </w:r>
    </w:p>
    <w:p w14:paraId="21AA47DF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15: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</w:p>
    <w:p w14:paraId="1C93F481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new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PricewaterhouseCoopers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AB as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authorized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Sebastian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Ionescu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as the principal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for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mandate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period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two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years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meaning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until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end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2022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General Meeting. </w:t>
      </w:r>
    </w:p>
    <w:p w14:paraId="7317BF11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16: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procedure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</w:p>
    <w:p w14:paraId="7109F6F1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proposes to the AGM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give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 the mission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requests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three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largest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voting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power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registered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in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register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kept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Euroclear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Sweden AB on the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last bank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day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August 2020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member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each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together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constitute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If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any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three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largest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denies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his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or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her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right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member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next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largest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shareholder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requested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member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If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any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change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in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ownership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structure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occurs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before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end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fourth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quarter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deemed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appropriate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adapted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the new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ownership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structure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.        </w:t>
      </w:r>
    </w:p>
    <w:p w14:paraId="265380DA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before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AGM 2021 make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proposal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the AGM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(i)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AGM, (ii)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directors, (iii)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board, (iv)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(v)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fees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 and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auditor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and (vi)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procedure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election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.</w:t>
      </w:r>
    </w:p>
    <w:p w14:paraId="6C82E410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lastRenderedPageBreak/>
        <w:t>Fees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not be given to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member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right to,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after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permission from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chairman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board;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debit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costs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for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e.g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recruitment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consultants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costs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deemed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necessary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for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nomination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committee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fulfill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work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.</w:t>
      </w:r>
    </w:p>
    <w:p w14:paraId="747434D8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Item 17: Resolution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authorisation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for 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resolve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on new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issues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shares</w:t>
      </w:r>
      <w:proofErr w:type="spellEnd"/>
    </w:p>
    <w:p w14:paraId="291C2633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 proposes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AGM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authorises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during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period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until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next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general meeting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on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or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more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occasions,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resolve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on a new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issue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stock options, or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convertible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bonds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or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without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deviation from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’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preferential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rights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paid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in cash, in kind or by right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set-off.</w:t>
      </w:r>
    </w:p>
    <w:p w14:paraId="37F24360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……………………….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14:paraId="640F9356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As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Wednesday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15th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April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2020,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financial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statements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Board’s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complete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motions,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including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statements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available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at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office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be sent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any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so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request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who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provide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mailing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address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documents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be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available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on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website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at </w:t>
      </w:r>
      <w:hyperlink r:id="rId6" w:tgtFrame="_blank" w:history="1">
        <w:r>
          <w:rPr>
            <w:rStyle w:val="Hyperlnk"/>
            <w:rFonts w:ascii="Arial" w:hAnsi="Arial" w:cs="Arial"/>
            <w:i/>
            <w:iCs/>
            <w:color w:val="638D31"/>
            <w:sz w:val="21"/>
            <w:szCs w:val="21"/>
          </w:rPr>
          <w:t>www.organoclick.com</w:t>
        </w:r>
      </w:hyperlink>
      <w:r>
        <w:rPr>
          <w:rStyle w:val="Betoning"/>
          <w:rFonts w:ascii="Arial" w:hAnsi="Arial" w:cs="Arial"/>
          <w:color w:val="333333"/>
          <w:sz w:val="21"/>
          <w:szCs w:val="21"/>
        </w:rPr>
        <w:t>.</w:t>
      </w:r>
    </w:p>
    <w:p w14:paraId="449445C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Following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the AGM,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shareholders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invited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enjoy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lighter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meal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and a tour at the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company’s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production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facility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. </w:t>
      </w:r>
    </w:p>
    <w:p w14:paraId="0746911C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Welcome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>!</w:t>
      </w:r>
    </w:p>
    <w:p w14:paraId="39398529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Stockholm, </w:t>
      </w:r>
      <w:proofErr w:type="gramStart"/>
      <w:r>
        <w:rPr>
          <w:rStyle w:val="Betoning"/>
          <w:rFonts w:ascii="Arial" w:hAnsi="Arial" w:cs="Arial"/>
          <w:color w:val="333333"/>
          <w:sz w:val="21"/>
          <w:szCs w:val="21"/>
        </w:rPr>
        <w:t>April</w:t>
      </w:r>
      <w:proofErr w:type="gram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2020</w:t>
      </w:r>
    </w:p>
    <w:p w14:paraId="6EB65341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The Board </w:t>
      </w:r>
      <w:proofErr w:type="spellStart"/>
      <w:r>
        <w:rPr>
          <w:rStyle w:val="Betoning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Betoning"/>
          <w:rFonts w:ascii="Arial" w:hAnsi="Arial" w:cs="Arial"/>
          <w:color w:val="333333"/>
          <w:sz w:val="21"/>
          <w:szCs w:val="21"/>
        </w:rPr>
        <w:t xml:space="preserve"> Directors</w:t>
      </w:r>
    </w:p>
    <w:p w14:paraId="63A4CAE3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.........................................................................................</w:t>
      </w:r>
    </w:p>
    <w:p w14:paraId="4408646B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information,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110143AD" w14:textId="77777777" w:rsidR="005D4E2B" w:rsidRDefault="005D4E2B" w:rsidP="005D4E2B">
      <w:pPr>
        <w:pStyle w:val="Normalwebb"/>
        <w:spacing w:before="21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Mårten Hellberg, CEO0707 - 16 48 90, marten.hellberg@organoclick.com</w:t>
      </w:r>
    </w:p>
    <w:p w14:paraId="1E8C9A0F" w14:textId="77777777" w:rsidR="00390D37" w:rsidRDefault="005D4E2B"/>
    <w:sectPr w:rsidR="0039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B50"/>
    <w:multiLevelType w:val="multilevel"/>
    <w:tmpl w:val="DC6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206D8"/>
    <w:multiLevelType w:val="hybridMultilevel"/>
    <w:tmpl w:val="95E27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6871B2"/>
    <w:multiLevelType w:val="multilevel"/>
    <w:tmpl w:val="267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67"/>
    <w:rsid w:val="000049D3"/>
    <w:rsid w:val="00025623"/>
    <w:rsid w:val="000E1D10"/>
    <w:rsid w:val="0014144A"/>
    <w:rsid w:val="001A08EB"/>
    <w:rsid w:val="001F015A"/>
    <w:rsid w:val="00205E20"/>
    <w:rsid w:val="0022234C"/>
    <w:rsid w:val="0026710C"/>
    <w:rsid w:val="002B1610"/>
    <w:rsid w:val="004F5FB7"/>
    <w:rsid w:val="00554A75"/>
    <w:rsid w:val="00594CAC"/>
    <w:rsid w:val="005D4E2B"/>
    <w:rsid w:val="00681CEC"/>
    <w:rsid w:val="00695AC3"/>
    <w:rsid w:val="006A2B60"/>
    <w:rsid w:val="006B0667"/>
    <w:rsid w:val="006D0622"/>
    <w:rsid w:val="006F438E"/>
    <w:rsid w:val="0072033D"/>
    <w:rsid w:val="007842D0"/>
    <w:rsid w:val="00807804"/>
    <w:rsid w:val="0084489C"/>
    <w:rsid w:val="009A54F4"/>
    <w:rsid w:val="009D70C3"/>
    <w:rsid w:val="009E3D5F"/>
    <w:rsid w:val="00A04FD5"/>
    <w:rsid w:val="00A94F13"/>
    <w:rsid w:val="00AB59E6"/>
    <w:rsid w:val="00BE19F9"/>
    <w:rsid w:val="00C87CEE"/>
    <w:rsid w:val="00D05C57"/>
    <w:rsid w:val="00D53B62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2287"/>
  <w15:chartTrackingRefBased/>
  <w15:docId w15:val="{3A26E5BB-0B57-4773-AE2C-3D74A25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5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B066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B0667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6B0667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554A7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25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25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25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25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25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5A0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rsid w:val="005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anoclick.com/" TargetMode="External"/><Relationship Id="rId5" Type="http://schemas.openxmlformats.org/officeDocument/2006/relationships/hyperlink" Target="http://www.organocli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Hellberg</dc:creator>
  <cp:keywords/>
  <dc:description/>
  <cp:lastModifiedBy>Mårten Hellberg</cp:lastModifiedBy>
  <cp:revision>2</cp:revision>
  <cp:lastPrinted>2019-04-10T07:41:00Z</cp:lastPrinted>
  <dcterms:created xsi:type="dcterms:W3CDTF">2020-04-28T17:10:00Z</dcterms:created>
  <dcterms:modified xsi:type="dcterms:W3CDTF">2020-04-28T17:10:00Z</dcterms:modified>
</cp:coreProperties>
</file>